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9A" w:rsidRPr="0096699A" w:rsidRDefault="0096699A" w:rsidP="0096699A">
      <w:pPr>
        <w:spacing w:after="0"/>
        <w:ind w:right="-1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</w:t>
      </w:r>
      <w:r w:rsidR="00D056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6699A">
        <w:rPr>
          <w:rFonts w:ascii="Arial" w:eastAsia="Times New Roman" w:hAnsi="Arial" w:cs="Arial"/>
          <w:bCs/>
          <w:sz w:val="16"/>
          <w:szCs w:val="16"/>
          <w:lang w:eastAsia="ru-RU"/>
        </w:rPr>
        <w:t>УТВЕРЖДАЮ:</w:t>
      </w:r>
    </w:p>
    <w:p w:rsidR="0096699A" w:rsidRPr="0096699A" w:rsidRDefault="00250B12" w:rsidP="0096699A">
      <w:pPr>
        <w:spacing w:after="0"/>
        <w:ind w:right="-1"/>
        <w:jc w:val="center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ab/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ab/>
        <w:t xml:space="preserve">                 </w:t>
      </w:r>
      <w:proofErr w:type="spellStart"/>
      <w:r>
        <w:rPr>
          <w:rFonts w:ascii="Arial" w:eastAsia="Times New Roman" w:hAnsi="Arial" w:cs="Arial"/>
          <w:bCs/>
          <w:sz w:val="16"/>
          <w:szCs w:val="16"/>
          <w:lang w:eastAsia="ru-RU"/>
        </w:rPr>
        <w:t>И.</w:t>
      </w:r>
      <w:r w:rsidR="0096699A" w:rsidRPr="0096699A">
        <w:rPr>
          <w:rFonts w:ascii="Arial" w:eastAsia="Times New Roman" w:hAnsi="Arial" w:cs="Arial"/>
          <w:bCs/>
          <w:sz w:val="16"/>
          <w:szCs w:val="16"/>
          <w:lang w:eastAsia="ru-RU"/>
        </w:rPr>
        <w:t>о</w:t>
      </w:r>
      <w:proofErr w:type="spellEnd"/>
      <w:r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. </w:t>
      </w:r>
      <w:r w:rsidR="0096699A" w:rsidRPr="0096699A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директора </w:t>
      </w:r>
    </w:p>
    <w:p w:rsidR="0096699A" w:rsidRPr="0096699A" w:rsidRDefault="0096699A" w:rsidP="0096699A">
      <w:pPr>
        <w:spacing w:after="0"/>
        <w:ind w:left="5664" w:right="-1" w:firstLine="708"/>
        <w:jc w:val="center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96699A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бюджетного учреждения </w:t>
      </w:r>
    </w:p>
    <w:p w:rsidR="0096699A" w:rsidRPr="0096699A" w:rsidRDefault="0096699A" w:rsidP="0096699A">
      <w:pPr>
        <w:spacing w:after="0"/>
        <w:ind w:left="4956" w:right="-1" w:firstLine="708"/>
        <w:jc w:val="center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       </w:t>
      </w:r>
      <w:r w:rsidRPr="0096699A">
        <w:rPr>
          <w:rFonts w:ascii="Arial" w:eastAsia="Times New Roman" w:hAnsi="Arial" w:cs="Arial"/>
          <w:bCs/>
          <w:sz w:val="16"/>
          <w:szCs w:val="16"/>
          <w:lang w:eastAsia="ru-RU"/>
        </w:rPr>
        <w:t>Ханты-Мансийского</w:t>
      </w:r>
    </w:p>
    <w:p w:rsidR="0096699A" w:rsidRPr="0096699A" w:rsidRDefault="0096699A" w:rsidP="0096699A">
      <w:pPr>
        <w:spacing w:after="0"/>
        <w:ind w:left="6372" w:right="-1"/>
        <w:jc w:val="center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    </w:t>
      </w:r>
      <w:r w:rsidRPr="0096699A">
        <w:rPr>
          <w:rFonts w:ascii="Arial" w:eastAsia="Times New Roman" w:hAnsi="Arial" w:cs="Arial"/>
          <w:bCs/>
          <w:sz w:val="16"/>
          <w:szCs w:val="16"/>
          <w:lang w:eastAsia="ru-RU"/>
        </w:rPr>
        <w:t>автономного округа – Югры</w:t>
      </w:r>
    </w:p>
    <w:p w:rsidR="0096699A" w:rsidRPr="0096699A" w:rsidRDefault="0096699A" w:rsidP="0096699A">
      <w:pPr>
        <w:spacing w:after="0"/>
        <w:ind w:left="6372" w:right="-1"/>
        <w:jc w:val="center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      </w:t>
      </w:r>
      <w:r w:rsidRPr="0096699A">
        <w:rPr>
          <w:rFonts w:ascii="Arial" w:eastAsia="Times New Roman" w:hAnsi="Arial" w:cs="Arial"/>
          <w:bCs/>
          <w:sz w:val="16"/>
          <w:szCs w:val="16"/>
          <w:lang w:eastAsia="ru-RU"/>
        </w:rPr>
        <w:t>«</w:t>
      </w:r>
      <w:proofErr w:type="spellStart"/>
      <w:r w:rsidRPr="0096699A">
        <w:rPr>
          <w:rFonts w:ascii="Arial" w:eastAsia="Times New Roman" w:hAnsi="Arial" w:cs="Arial"/>
          <w:bCs/>
          <w:sz w:val="16"/>
          <w:szCs w:val="16"/>
          <w:lang w:eastAsia="ru-RU"/>
        </w:rPr>
        <w:t>Нижневартовский</w:t>
      </w:r>
      <w:proofErr w:type="spellEnd"/>
      <w:r w:rsidRPr="0096699A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районный</w:t>
      </w:r>
    </w:p>
    <w:p w:rsidR="0096699A" w:rsidRPr="0096699A" w:rsidRDefault="0096699A" w:rsidP="0096699A">
      <w:pPr>
        <w:spacing w:after="0"/>
        <w:ind w:right="-1"/>
        <w:jc w:val="right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  </w:t>
      </w:r>
      <w:r w:rsidRPr="0096699A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комплексный центр социального </w:t>
      </w:r>
    </w:p>
    <w:p w:rsidR="0096699A" w:rsidRPr="0096699A" w:rsidRDefault="0096699A" w:rsidP="0096699A">
      <w:pPr>
        <w:spacing w:after="0"/>
        <w:ind w:left="5664" w:right="-1" w:firstLine="708"/>
        <w:jc w:val="center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   </w:t>
      </w:r>
      <w:r w:rsidR="00D0563A">
        <w:rPr>
          <w:rFonts w:ascii="Arial" w:eastAsia="Times New Roman" w:hAnsi="Arial" w:cs="Arial"/>
          <w:bCs/>
          <w:sz w:val="16"/>
          <w:szCs w:val="16"/>
          <w:lang w:eastAsia="ru-RU"/>
        </w:rPr>
        <w:t>обслуживания населения</w:t>
      </w:r>
      <w:r w:rsidRPr="0096699A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» </w:t>
      </w:r>
    </w:p>
    <w:p w:rsidR="0096699A" w:rsidRPr="0096699A" w:rsidRDefault="0096699A" w:rsidP="0096699A">
      <w:pPr>
        <w:spacing w:after="0"/>
        <w:ind w:left="5664" w:right="-1"/>
        <w:jc w:val="center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                         ______________</w:t>
      </w:r>
      <w:r w:rsidRPr="0096699A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</w:t>
      </w:r>
      <w:proofErr w:type="spellStart"/>
      <w:r w:rsidRPr="0096699A">
        <w:rPr>
          <w:rFonts w:ascii="Arial" w:eastAsia="Times New Roman" w:hAnsi="Arial" w:cs="Arial"/>
          <w:bCs/>
          <w:sz w:val="16"/>
          <w:szCs w:val="16"/>
          <w:lang w:eastAsia="ru-RU"/>
        </w:rPr>
        <w:t>А.И.Малышева</w:t>
      </w:r>
      <w:proofErr w:type="spellEnd"/>
    </w:p>
    <w:p w:rsidR="0096699A" w:rsidRPr="0096699A" w:rsidRDefault="0096699A" w:rsidP="0096699A">
      <w:pPr>
        <w:spacing w:after="0"/>
        <w:ind w:right="-1"/>
        <w:jc w:val="right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>«___</w:t>
      </w:r>
      <w:proofErr w:type="gramStart"/>
      <w:r>
        <w:rPr>
          <w:rFonts w:ascii="Arial" w:eastAsia="Times New Roman" w:hAnsi="Arial" w:cs="Arial"/>
          <w:bCs/>
          <w:sz w:val="16"/>
          <w:szCs w:val="16"/>
          <w:lang w:eastAsia="ru-RU"/>
        </w:rPr>
        <w:t>_»_</w:t>
      </w:r>
      <w:proofErr w:type="gramEnd"/>
      <w:r>
        <w:rPr>
          <w:rFonts w:ascii="Arial" w:eastAsia="Times New Roman" w:hAnsi="Arial" w:cs="Arial"/>
          <w:bCs/>
          <w:sz w:val="16"/>
          <w:szCs w:val="16"/>
          <w:lang w:eastAsia="ru-RU"/>
        </w:rPr>
        <w:t>______________</w:t>
      </w:r>
      <w:r w:rsidR="00D0563A">
        <w:rPr>
          <w:rFonts w:ascii="Arial" w:eastAsia="Times New Roman" w:hAnsi="Arial" w:cs="Arial"/>
          <w:bCs/>
          <w:sz w:val="16"/>
          <w:szCs w:val="16"/>
          <w:lang w:eastAsia="ru-RU"/>
        </w:rPr>
        <w:t>20___г.</w:t>
      </w:r>
    </w:p>
    <w:p w:rsidR="0096699A" w:rsidRDefault="0096699A" w:rsidP="0096699A">
      <w:pPr>
        <w:tabs>
          <w:tab w:val="left" w:pos="7155"/>
        </w:tabs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0563A" w:rsidRDefault="00D0563A" w:rsidP="00D0563A">
      <w:pPr>
        <w:tabs>
          <w:tab w:val="left" w:pos="7155"/>
        </w:tabs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ru-RU"/>
        </w:rPr>
      </w:pPr>
    </w:p>
    <w:p w:rsidR="00D0563A" w:rsidRDefault="00D0563A" w:rsidP="00D0563A">
      <w:pPr>
        <w:tabs>
          <w:tab w:val="left" w:pos="7155"/>
        </w:tabs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ru-RU"/>
        </w:rPr>
      </w:pPr>
    </w:p>
    <w:p w:rsidR="00D0563A" w:rsidRDefault="00D0563A" w:rsidP="00D0563A">
      <w:pPr>
        <w:tabs>
          <w:tab w:val="left" w:pos="7155"/>
        </w:tabs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ru-RU"/>
        </w:rPr>
      </w:pPr>
    </w:p>
    <w:p w:rsidR="00D0563A" w:rsidRDefault="00D0563A" w:rsidP="00D0563A">
      <w:pPr>
        <w:tabs>
          <w:tab w:val="left" w:pos="7155"/>
        </w:tabs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ru-RU"/>
        </w:rPr>
      </w:pPr>
    </w:p>
    <w:p w:rsidR="00D0563A" w:rsidRDefault="00D0563A" w:rsidP="00D0563A">
      <w:pPr>
        <w:tabs>
          <w:tab w:val="left" w:pos="7155"/>
        </w:tabs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ru-RU"/>
        </w:rPr>
      </w:pPr>
      <w:bookmarkStart w:id="0" w:name="_GoBack"/>
      <w:bookmarkEnd w:id="0"/>
    </w:p>
    <w:p w:rsidR="00D0563A" w:rsidRDefault="00D0563A" w:rsidP="00D0563A">
      <w:pPr>
        <w:tabs>
          <w:tab w:val="left" w:pos="7155"/>
        </w:tabs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ru-RU"/>
        </w:rPr>
      </w:pPr>
    </w:p>
    <w:p w:rsidR="00D0563A" w:rsidRDefault="00D0563A" w:rsidP="00D0563A">
      <w:pPr>
        <w:tabs>
          <w:tab w:val="left" w:pos="7155"/>
        </w:tabs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ru-RU"/>
        </w:rPr>
      </w:pPr>
    </w:p>
    <w:p w:rsidR="00D0563A" w:rsidRDefault="00D0563A" w:rsidP="00D0563A">
      <w:pPr>
        <w:tabs>
          <w:tab w:val="left" w:pos="7155"/>
        </w:tabs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ru-RU"/>
        </w:rPr>
      </w:pPr>
    </w:p>
    <w:p w:rsidR="00D0563A" w:rsidRDefault="00D0563A" w:rsidP="00D0563A">
      <w:pPr>
        <w:tabs>
          <w:tab w:val="left" w:pos="7155"/>
        </w:tabs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ru-RU"/>
        </w:rPr>
      </w:pPr>
    </w:p>
    <w:p w:rsidR="00D0563A" w:rsidRDefault="00D0563A" w:rsidP="00D0563A">
      <w:pPr>
        <w:tabs>
          <w:tab w:val="left" w:pos="7155"/>
        </w:tabs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ru-RU"/>
        </w:rPr>
      </w:pPr>
    </w:p>
    <w:p w:rsidR="0096699A" w:rsidRDefault="00D0563A" w:rsidP="00D0563A">
      <w:pPr>
        <w:tabs>
          <w:tab w:val="left" w:pos="7155"/>
        </w:tabs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ru-RU"/>
        </w:rPr>
      </w:pPr>
      <w:r w:rsidRPr="00D0563A">
        <w:rPr>
          <w:rFonts w:ascii="Arial" w:eastAsia="Times New Roman" w:hAnsi="Arial" w:cs="Arial"/>
          <w:b/>
          <w:sz w:val="25"/>
          <w:szCs w:val="25"/>
          <w:lang w:eastAsia="ru-RU"/>
        </w:rPr>
        <w:t>ПОЛИТИКА</w:t>
      </w:r>
    </w:p>
    <w:p w:rsidR="00D0563A" w:rsidRPr="00D0563A" w:rsidRDefault="00D0563A" w:rsidP="00D0563A">
      <w:pPr>
        <w:tabs>
          <w:tab w:val="left" w:pos="7155"/>
        </w:tabs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sz w:val="25"/>
          <w:szCs w:val="25"/>
          <w:lang w:eastAsia="ru-RU"/>
        </w:rPr>
        <w:t>В ОТНОШЕНИИ ОБРАБОТКИ ПЕРСОНАЛЬНЫХ ДАННЫХ в</w:t>
      </w:r>
    </w:p>
    <w:p w:rsidR="00D0563A" w:rsidRDefault="00D0563A" w:rsidP="00D0563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бюджетном учреждении Ханты-Мансийского автономного округа - Югры «</w:t>
      </w:r>
      <w:proofErr w:type="spellStart"/>
      <w:r>
        <w:rPr>
          <w:rFonts w:ascii="Arial" w:hAnsi="Arial" w:cs="Arial"/>
          <w:b/>
        </w:rPr>
        <w:t>Нижневартовский</w:t>
      </w:r>
      <w:proofErr w:type="spellEnd"/>
      <w:r>
        <w:rPr>
          <w:rFonts w:ascii="Arial" w:hAnsi="Arial" w:cs="Arial"/>
          <w:b/>
        </w:rPr>
        <w:t xml:space="preserve"> районный комплексный центр социального обслуживания населения»</w:t>
      </w:r>
    </w:p>
    <w:p w:rsidR="0096699A" w:rsidRDefault="0096699A" w:rsidP="0096699A">
      <w:pPr>
        <w:tabs>
          <w:tab w:val="left" w:pos="7155"/>
        </w:tabs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699A" w:rsidRDefault="0096699A" w:rsidP="0096699A">
      <w:pPr>
        <w:tabs>
          <w:tab w:val="left" w:pos="7155"/>
        </w:tabs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699A" w:rsidRDefault="0096699A" w:rsidP="0096699A">
      <w:pPr>
        <w:tabs>
          <w:tab w:val="left" w:pos="7155"/>
        </w:tabs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699A" w:rsidRDefault="0096699A" w:rsidP="0096699A">
      <w:pPr>
        <w:tabs>
          <w:tab w:val="left" w:pos="7155"/>
        </w:tabs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699A" w:rsidRDefault="0096699A" w:rsidP="0096699A">
      <w:pPr>
        <w:tabs>
          <w:tab w:val="left" w:pos="7155"/>
        </w:tabs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699A" w:rsidRDefault="0096699A" w:rsidP="0096699A">
      <w:pPr>
        <w:tabs>
          <w:tab w:val="left" w:pos="7155"/>
        </w:tabs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699A" w:rsidRDefault="0096699A" w:rsidP="0096699A">
      <w:pPr>
        <w:tabs>
          <w:tab w:val="left" w:pos="7155"/>
        </w:tabs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699A" w:rsidRDefault="0096699A" w:rsidP="0096699A">
      <w:pPr>
        <w:tabs>
          <w:tab w:val="left" w:pos="7155"/>
        </w:tabs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699A" w:rsidRDefault="0096699A" w:rsidP="0096699A">
      <w:pPr>
        <w:tabs>
          <w:tab w:val="left" w:pos="7155"/>
        </w:tabs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699A" w:rsidRDefault="0096699A" w:rsidP="0096699A">
      <w:pPr>
        <w:tabs>
          <w:tab w:val="left" w:pos="7155"/>
        </w:tabs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699A" w:rsidRDefault="0096699A" w:rsidP="0096699A">
      <w:pPr>
        <w:tabs>
          <w:tab w:val="left" w:pos="7155"/>
        </w:tabs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699A" w:rsidRDefault="0096699A" w:rsidP="0096699A">
      <w:pPr>
        <w:tabs>
          <w:tab w:val="left" w:pos="7155"/>
        </w:tabs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699A" w:rsidRDefault="0096699A" w:rsidP="0096699A">
      <w:pPr>
        <w:tabs>
          <w:tab w:val="left" w:pos="7155"/>
        </w:tabs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699A" w:rsidRDefault="0096699A" w:rsidP="0096699A">
      <w:pPr>
        <w:tabs>
          <w:tab w:val="left" w:pos="7155"/>
        </w:tabs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699A" w:rsidRDefault="0096699A" w:rsidP="0096699A">
      <w:pPr>
        <w:tabs>
          <w:tab w:val="left" w:pos="7155"/>
        </w:tabs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699A" w:rsidRDefault="0096699A" w:rsidP="0096699A">
      <w:pPr>
        <w:tabs>
          <w:tab w:val="left" w:pos="7155"/>
        </w:tabs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699A" w:rsidRPr="0096699A" w:rsidRDefault="0096699A" w:rsidP="0096699A">
      <w:pPr>
        <w:tabs>
          <w:tab w:val="left" w:pos="7155"/>
        </w:tabs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699A" w:rsidRDefault="0096699A" w:rsidP="0096699A">
      <w:pPr>
        <w:spacing w:after="0" w:line="301" w:lineRule="exact"/>
        <w:ind w:left="352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699A" w:rsidRPr="0096699A" w:rsidRDefault="0096699A" w:rsidP="0096699A">
      <w:pPr>
        <w:spacing w:after="0" w:line="301" w:lineRule="exact"/>
        <w:ind w:left="35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</w:t>
      </w:r>
    </w:p>
    <w:p w:rsidR="0096699A" w:rsidRPr="0096699A" w:rsidRDefault="0096699A" w:rsidP="0096699A">
      <w:pPr>
        <w:numPr>
          <w:ilvl w:val="0"/>
          <w:numId w:val="1"/>
        </w:numPr>
        <w:tabs>
          <w:tab w:val="left" w:pos="659"/>
        </w:tabs>
        <w:spacing w:after="0" w:line="301" w:lineRule="exact"/>
        <w:ind w:left="680" w:hanging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Термины и определения</w:t>
      </w:r>
    </w:p>
    <w:p w:rsidR="0096699A" w:rsidRPr="0096699A" w:rsidRDefault="0096699A" w:rsidP="0096699A">
      <w:pPr>
        <w:numPr>
          <w:ilvl w:val="0"/>
          <w:numId w:val="1"/>
        </w:numPr>
        <w:tabs>
          <w:tab w:val="left" w:pos="686"/>
        </w:tabs>
        <w:spacing w:after="0" w:line="301" w:lineRule="exact"/>
        <w:ind w:left="680" w:hanging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область применения</w:t>
      </w:r>
    </w:p>
    <w:p w:rsidR="0096699A" w:rsidRPr="0096699A" w:rsidRDefault="0096699A" w:rsidP="0096699A">
      <w:pPr>
        <w:numPr>
          <w:ilvl w:val="0"/>
          <w:numId w:val="1"/>
        </w:numPr>
        <w:tabs>
          <w:tab w:val="left" w:pos="686"/>
        </w:tabs>
        <w:spacing w:after="0" w:line="301" w:lineRule="exact"/>
        <w:ind w:left="680" w:hanging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обработки персональных данных</w:t>
      </w:r>
    </w:p>
    <w:p w:rsidR="0096699A" w:rsidRPr="0096699A" w:rsidRDefault="0096699A" w:rsidP="0096699A">
      <w:pPr>
        <w:numPr>
          <w:ilvl w:val="0"/>
          <w:numId w:val="1"/>
        </w:numPr>
        <w:tabs>
          <w:tab w:val="left" w:pos="693"/>
        </w:tabs>
        <w:spacing w:after="0" w:line="301" w:lineRule="exact"/>
        <w:ind w:left="680" w:hanging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обработки персональных данных</w:t>
      </w:r>
    </w:p>
    <w:p w:rsidR="0096699A" w:rsidRPr="0096699A" w:rsidRDefault="0096699A" w:rsidP="0096699A">
      <w:pPr>
        <w:numPr>
          <w:ilvl w:val="0"/>
          <w:numId w:val="1"/>
        </w:numPr>
        <w:tabs>
          <w:tab w:val="left" w:pos="683"/>
        </w:tabs>
        <w:spacing w:after="0" w:line="301" w:lineRule="exact"/>
        <w:ind w:left="680" w:hanging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обработки персональных данных</w:t>
      </w:r>
    </w:p>
    <w:p w:rsidR="0096699A" w:rsidRPr="0096699A" w:rsidRDefault="0096699A" w:rsidP="0096699A">
      <w:pPr>
        <w:numPr>
          <w:ilvl w:val="0"/>
          <w:numId w:val="1"/>
        </w:numPr>
        <w:tabs>
          <w:tab w:val="left" w:pos="689"/>
        </w:tabs>
        <w:spacing w:after="0" w:line="301" w:lineRule="exact"/>
        <w:ind w:left="680" w:right="240" w:hanging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обработки персональных данных и их передача третьим лицам</w:t>
      </w:r>
    </w:p>
    <w:p w:rsidR="0096699A" w:rsidRPr="0096699A" w:rsidRDefault="0096699A" w:rsidP="0096699A">
      <w:pPr>
        <w:numPr>
          <w:ilvl w:val="0"/>
          <w:numId w:val="1"/>
        </w:numPr>
        <w:tabs>
          <w:tab w:val="left" w:pos="683"/>
        </w:tabs>
        <w:spacing w:after="0" w:line="301" w:lineRule="exact"/>
        <w:ind w:left="680" w:hanging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субъектов персональных данных</w:t>
      </w:r>
    </w:p>
    <w:p w:rsidR="0096699A" w:rsidRPr="0096699A" w:rsidRDefault="0096699A" w:rsidP="0096699A">
      <w:pPr>
        <w:numPr>
          <w:ilvl w:val="0"/>
          <w:numId w:val="1"/>
        </w:numPr>
        <w:tabs>
          <w:tab w:val="left" w:pos="683"/>
        </w:tabs>
        <w:spacing w:after="0" w:line="301" w:lineRule="exact"/>
        <w:ind w:left="680" w:hanging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персональных данных</w:t>
      </w:r>
    </w:p>
    <w:p w:rsidR="0096699A" w:rsidRPr="0096699A" w:rsidRDefault="0096699A" w:rsidP="0096699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  <w:sectPr w:rsidR="0096699A" w:rsidRPr="0096699A" w:rsidSect="0096699A">
          <w:pgSz w:w="11905" w:h="16837"/>
          <w:pgMar w:top="1134" w:right="851" w:bottom="1134" w:left="1701" w:header="0" w:footer="6" w:gutter="0"/>
          <w:cols w:space="720"/>
        </w:sectPr>
      </w:pPr>
    </w:p>
    <w:p w:rsidR="0096699A" w:rsidRPr="0096699A" w:rsidRDefault="00EF3DED" w:rsidP="00EF3DED">
      <w:pPr>
        <w:spacing w:after="0" w:line="25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ТЕРМИНЫ И ОПРЕДЕЛЕНИЯ</w:t>
      </w:r>
    </w:p>
    <w:p w:rsidR="0096699A" w:rsidRPr="0096699A" w:rsidRDefault="0096699A" w:rsidP="00EF3DED">
      <w:pPr>
        <w:numPr>
          <w:ilvl w:val="0"/>
          <w:numId w:val="2"/>
        </w:numPr>
        <w:tabs>
          <w:tab w:val="left" w:pos="1348"/>
        </w:tabs>
        <w:spacing w:after="0" w:line="301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Персональные данные (далее - 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любая информация, относящаяся к прямо или косвенно </w:t>
      </w:r>
      <w:r w:rsidR="00D0563A" w:rsidRPr="00A127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определённому,</w:t>
      </w: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определяемому физическому лицу.</w:t>
      </w:r>
    </w:p>
    <w:p w:rsidR="0096699A" w:rsidRPr="0096699A" w:rsidRDefault="0096699A" w:rsidP="00EF3DED">
      <w:pPr>
        <w:numPr>
          <w:ilvl w:val="0"/>
          <w:numId w:val="2"/>
        </w:numPr>
        <w:tabs>
          <w:tab w:val="left" w:pos="1359"/>
        </w:tabs>
        <w:spacing w:after="0" w:line="301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- государственный орган, муниципальный орган, юридическое или физическое лицо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96699A" w:rsidRPr="0096699A" w:rsidRDefault="0096699A" w:rsidP="00EF3DED">
      <w:pPr>
        <w:numPr>
          <w:ilvl w:val="0"/>
          <w:numId w:val="2"/>
        </w:numPr>
        <w:tabs>
          <w:tab w:val="left" w:pos="1352"/>
        </w:tabs>
        <w:spacing w:after="0" w:line="301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99A" w:rsidRPr="0096699A" w:rsidRDefault="0096699A" w:rsidP="00EF3DED">
      <w:pPr>
        <w:numPr>
          <w:ilvl w:val="0"/>
          <w:numId w:val="2"/>
        </w:numPr>
        <w:tabs>
          <w:tab w:val="left" w:pos="1352"/>
        </w:tabs>
        <w:spacing w:after="0" w:line="301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обработка персональных данных - обработка 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средств вычислительной техники.</w:t>
      </w:r>
    </w:p>
    <w:p w:rsidR="0096699A" w:rsidRPr="0096699A" w:rsidRDefault="0096699A" w:rsidP="00EF3DED">
      <w:pPr>
        <w:numPr>
          <w:ilvl w:val="0"/>
          <w:numId w:val="2"/>
        </w:numPr>
        <w:tabs>
          <w:tab w:val="left" w:pos="1359"/>
        </w:tabs>
        <w:spacing w:after="0" w:line="301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персональных данных — действия, направленные на раскрытие персональных данных неопределенному кругу лиц.</w:t>
      </w:r>
    </w:p>
    <w:p w:rsidR="0096699A" w:rsidRPr="0096699A" w:rsidRDefault="0096699A" w:rsidP="00EF3DED">
      <w:pPr>
        <w:numPr>
          <w:ilvl w:val="0"/>
          <w:numId w:val="2"/>
        </w:numPr>
        <w:tabs>
          <w:tab w:val="left" w:pos="1355"/>
        </w:tabs>
        <w:spacing w:after="0" w:line="301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персональных данных - действия (операции) с 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совершаемые оператором в целях принятия решений или совершения иных действий, порождающих юридические последствия в отношении субъекта 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других лиц либо иным образом, затрагивающих права и свободы субъекта 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других лиц.</w:t>
      </w:r>
    </w:p>
    <w:p w:rsidR="0096699A" w:rsidRPr="0096699A" w:rsidRDefault="0096699A" w:rsidP="00EF3DED">
      <w:pPr>
        <w:numPr>
          <w:ilvl w:val="0"/>
          <w:numId w:val="2"/>
        </w:numPr>
        <w:tabs>
          <w:tab w:val="left" w:pos="1359"/>
        </w:tabs>
        <w:spacing w:after="0" w:line="301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Блокирование персональных данных - временное прекращение обработки 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случаев, если обработка необходима для уточнения 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6699A" w:rsidRPr="0096699A" w:rsidRDefault="0096699A" w:rsidP="00EF3DED">
      <w:pPr>
        <w:numPr>
          <w:ilvl w:val="0"/>
          <w:numId w:val="2"/>
        </w:numPr>
        <w:tabs>
          <w:tab w:val="left" w:pos="1359"/>
        </w:tabs>
        <w:spacing w:after="0" w:line="301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96699A" w:rsidRPr="0096699A" w:rsidRDefault="0096699A" w:rsidP="00EF3DED">
      <w:pPr>
        <w:numPr>
          <w:ilvl w:val="0"/>
          <w:numId w:val="2"/>
        </w:numPr>
        <w:tabs>
          <w:tab w:val="left" w:pos="1352"/>
        </w:tabs>
        <w:spacing w:after="0" w:line="301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конкретному субъекту 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99A" w:rsidRPr="0096699A" w:rsidRDefault="0096699A" w:rsidP="00EF3DED">
      <w:pPr>
        <w:numPr>
          <w:ilvl w:val="0"/>
          <w:numId w:val="2"/>
        </w:numPr>
        <w:tabs>
          <w:tab w:val="left" w:pos="1359"/>
        </w:tabs>
        <w:spacing w:after="0" w:line="301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система персональных данных (далее 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)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96699A" w:rsidRDefault="0096699A" w:rsidP="00EF3DED">
      <w:pPr>
        <w:numPr>
          <w:ilvl w:val="0"/>
          <w:numId w:val="2"/>
        </w:numPr>
        <w:tabs>
          <w:tab w:val="left" w:pos="1352"/>
        </w:tabs>
        <w:spacing w:after="0" w:line="301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EF3DED" w:rsidRPr="0096699A" w:rsidRDefault="00EF3DED" w:rsidP="00EF3DED">
      <w:pPr>
        <w:tabs>
          <w:tab w:val="left" w:pos="1352"/>
        </w:tabs>
        <w:spacing w:after="0" w:line="301" w:lineRule="exact"/>
        <w:ind w:left="7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DED" w:rsidRDefault="00EF3DED" w:rsidP="00EF3DED">
      <w:pPr>
        <w:spacing w:after="0" w:line="25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3DED" w:rsidRDefault="00EF3DED" w:rsidP="00EF3DED">
      <w:pPr>
        <w:spacing w:after="0" w:line="25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3DED" w:rsidRDefault="00EF3DED" w:rsidP="00EF3DED">
      <w:pPr>
        <w:spacing w:after="0" w:line="25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699A" w:rsidRPr="0096699A" w:rsidRDefault="00EF3DED" w:rsidP="00EF3DED">
      <w:pPr>
        <w:spacing w:after="0" w:line="25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НАЗНАЧЕНИЕ И ОБЛАСТЬ ПРИМЕНЕНИЯ</w:t>
      </w:r>
    </w:p>
    <w:p w:rsidR="0096699A" w:rsidRPr="0096699A" w:rsidRDefault="0096699A" w:rsidP="00EF3DED">
      <w:pPr>
        <w:numPr>
          <w:ilvl w:val="0"/>
          <w:numId w:val="3"/>
        </w:numPr>
        <w:tabs>
          <w:tab w:val="left" w:pos="1362"/>
        </w:tabs>
        <w:spacing w:after="0" w:line="301" w:lineRule="exact"/>
        <w:ind w:left="20" w:right="20"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Политика в отношении обработки персональных данных в бюджетном учреждении Ханты-Мансийского автономного округа - Югры «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Нижневартовский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74C" w:rsidRPr="00A12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</w:t>
      </w: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центр социального обслуживания населения» (далее - Политика) разработана в соответствии со статьей 18.1 Федерального закона от 27.07.2006 № 152-ФЗ «О персональных данных» (далее - Закон № 152-ФЗ) и действует в отношении всех персональных данных, которые бюджетное учреждение Ханты-Мансийского автономного округа - Югры «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Нижневартовский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74C" w:rsidRPr="00A12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</w:t>
      </w: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центр социального обслуживания населения» (далее - Оператор) может получить от субъектов персональных данных.</w:t>
      </w:r>
    </w:p>
    <w:p w:rsidR="0096699A" w:rsidRPr="0096699A" w:rsidRDefault="0096699A" w:rsidP="00EF3DED">
      <w:pPr>
        <w:numPr>
          <w:ilvl w:val="0"/>
          <w:numId w:val="3"/>
        </w:numPr>
        <w:tabs>
          <w:tab w:val="left" w:pos="1348"/>
        </w:tabs>
        <w:spacing w:after="0" w:line="301" w:lineRule="exact"/>
        <w:ind w:left="20" w:right="20"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распространяется на персональные данные, полученные как до, так и после её утверждения приказом Оператора.</w:t>
      </w:r>
    </w:p>
    <w:p w:rsidR="0096699A" w:rsidRDefault="0096699A" w:rsidP="00EF3DED">
      <w:pPr>
        <w:numPr>
          <w:ilvl w:val="0"/>
          <w:numId w:val="3"/>
        </w:numPr>
        <w:tabs>
          <w:tab w:val="left" w:pos="1355"/>
        </w:tabs>
        <w:spacing w:after="0" w:line="301" w:lineRule="exact"/>
        <w:ind w:left="20" w:right="20"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настоящей Политики распространяется на все процессы обработки персональных данных Оператором, как с использованием средств автоматизации, так и без использования таких средств, на всех работников Оператора, участвующих в таких процессах, а также на информационные системы бюджетного учреждения Ханты-Мансийского автономного округа - Югры «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Нижневартовский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74C" w:rsidRPr="00A12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</w:t>
      </w: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центр социального обслуживания населения», используемые в процессах обработки персональных данных.</w:t>
      </w:r>
    </w:p>
    <w:p w:rsidR="00EF3DED" w:rsidRPr="0096699A" w:rsidRDefault="00EF3DED" w:rsidP="00EF3DED">
      <w:pPr>
        <w:tabs>
          <w:tab w:val="left" w:pos="1355"/>
        </w:tabs>
        <w:spacing w:after="0" w:line="301" w:lineRule="exact"/>
        <w:ind w:left="8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99A" w:rsidRPr="0096699A" w:rsidRDefault="00EF3DED" w:rsidP="00EF3DED">
      <w:pPr>
        <w:spacing w:after="0" w:line="25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ПРИНЦИПЫ ОБРАБОТКИ ПЕРСОНАЛЬНЫХ ДАННЫХ</w:t>
      </w:r>
    </w:p>
    <w:p w:rsidR="0096699A" w:rsidRPr="0096699A" w:rsidRDefault="0096699A" w:rsidP="00EF3DED">
      <w:pPr>
        <w:numPr>
          <w:ilvl w:val="1"/>
          <w:numId w:val="3"/>
        </w:numPr>
        <w:tabs>
          <w:tab w:val="left" w:pos="1359"/>
        </w:tabs>
        <w:spacing w:after="0" w:line="301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Оператором на законной и справедливой основе и ограничивается достижением конкретных, заранее определенных и законных целей. Оператором не допускается обработка персональных данных, несовместимая с целями сбора персональных данных и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96699A" w:rsidRPr="0096699A" w:rsidRDefault="0096699A" w:rsidP="00EF3DED">
      <w:pPr>
        <w:numPr>
          <w:ilvl w:val="1"/>
          <w:numId w:val="3"/>
        </w:numPr>
        <w:tabs>
          <w:tab w:val="left" w:pos="1352"/>
        </w:tabs>
        <w:spacing w:after="0" w:line="301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Обработке подлежат только персональные данные, которые отвечают целям их обработки. Содержание и объем обрабатываемых Оператором персональных данных соответствуют заявленным целям обработки, избыточность обрабатываемых данных не допускается.</w:t>
      </w:r>
    </w:p>
    <w:p w:rsidR="0096699A" w:rsidRPr="0096699A" w:rsidRDefault="0096699A" w:rsidP="00EF3DED">
      <w:pPr>
        <w:numPr>
          <w:ilvl w:val="1"/>
          <w:numId w:val="3"/>
        </w:numPr>
        <w:tabs>
          <w:tab w:val="left" w:pos="1355"/>
        </w:tabs>
        <w:spacing w:after="0" w:line="301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обработке персональных данных Оператором обеспечивается точность персональных данных, их достаточность и в необходимых случаях актуальность по отношению к целям обработки персональных данных. Оператором принимаются необходимые меры (обеспечивается их принятие) по удалению или уточнению </w:t>
      </w:r>
      <w:r w:rsidR="00D0563A" w:rsidRPr="00A127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неполных,</w:t>
      </w: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неточных персональных данных.</w:t>
      </w:r>
    </w:p>
    <w:p w:rsidR="0096699A" w:rsidRPr="0096699A" w:rsidRDefault="0096699A" w:rsidP="00EF3DED">
      <w:pPr>
        <w:numPr>
          <w:ilvl w:val="1"/>
          <w:numId w:val="3"/>
        </w:numPr>
        <w:tabs>
          <w:tab w:val="left" w:pos="1359"/>
        </w:tabs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состава обрабатываемых персональных данных субъектов персональных данных Оператор руководствуется минимально необходимым составом персональных данных для достижения целей получения персональных данных.</w:t>
      </w:r>
    </w:p>
    <w:p w:rsidR="0096699A" w:rsidRDefault="0096699A" w:rsidP="00EF3DED">
      <w:pPr>
        <w:numPr>
          <w:ilvl w:val="1"/>
          <w:numId w:val="3"/>
        </w:numPr>
        <w:tabs>
          <w:tab w:val="left" w:pos="1355"/>
          <w:tab w:val="left" w:pos="4418"/>
          <w:tab w:val="left" w:pos="6152"/>
          <w:tab w:val="left" w:pos="7281"/>
        </w:tabs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персональных данных Оператором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</w:t>
      </w:r>
      <w:r w:rsidR="00A1274C" w:rsidRPr="00A12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A1274C" w:rsidRPr="00A12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федеральным законом, договором, стороной которого, выгодоприобретателем или </w:t>
      </w:r>
      <w:r w:rsidR="00A1274C" w:rsidRPr="00A127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поручителем,</w:t>
      </w: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которому </w:t>
      </w: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EF3DED" w:rsidRPr="0096699A" w:rsidRDefault="00EF3DED" w:rsidP="00EF3DED">
      <w:pPr>
        <w:tabs>
          <w:tab w:val="left" w:pos="1355"/>
          <w:tab w:val="left" w:pos="4418"/>
          <w:tab w:val="left" w:pos="6152"/>
          <w:tab w:val="left" w:pos="7281"/>
        </w:tabs>
        <w:spacing w:after="0" w:line="301" w:lineRule="exact"/>
        <w:ind w:left="68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99A" w:rsidRPr="0096699A" w:rsidRDefault="00EF3DED" w:rsidP="00EF3DED">
      <w:pPr>
        <w:spacing w:after="0" w:line="25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УСЛОВИЯ ОБРАБОТКИ ПЕРСОНАЛЬНЫХ ДАННЫХ</w:t>
      </w:r>
    </w:p>
    <w:p w:rsidR="0096699A" w:rsidRPr="0096699A" w:rsidRDefault="0096699A" w:rsidP="00EF3DED">
      <w:pPr>
        <w:numPr>
          <w:ilvl w:val="0"/>
          <w:numId w:val="4"/>
        </w:numPr>
        <w:tabs>
          <w:tab w:val="left" w:pos="1355"/>
        </w:tabs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в соответствии с целями, заранее определенными и заявленными при сборе персональных данных, а также полномочиями Оператора, определенными действующим законодательством Российской Федерации и договорными отношениями с Оператором.</w:t>
      </w:r>
    </w:p>
    <w:p w:rsidR="0096699A" w:rsidRPr="0096699A" w:rsidRDefault="0096699A" w:rsidP="00EF3DED">
      <w:pPr>
        <w:numPr>
          <w:ilvl w:val="0"/>
          <w:numId w:val="4"/>
        </w:numPr>
        <w:tabs>
          <w:tab w:val="left" w:pos="1348"/>
        </w:tabs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 обработка персональных данных в случаях, предусмотренных законом № 152-ФЗ, осуществляется Оператором только с письменного согласия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электронной подписью.</w:t>
      </w:r>
    </w:p>
    <w:p w:rsidR="0096699A" w:rsidRPr="0096699A" w:rsidRDefault="0096699A" w:rsidP="00EF3DED">
      <w:pPr>
        <w:numPr>
          <w:ilvl w:val="0"/>
          <w:numId w:val="4"/>
        </w:numPr>
        <w:tabs>
          <w:tab w:val="left" w:pos="1359"/>
        </w:tabs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законом № 152-ФЗ.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Оператором.</w:t>
      </w:r>
    </w:p>
    <w:p w:rsidR="0096699A" w:rsidRPr="0096699A" w:rsidRDefault="0096699A" w:rsidP="00EF3DED">
      <w:pPr>
        <w:numPr>
          <w:ilvl w:val="0"/>
          <w:numId w:val="4"/>
        </w:numPr>
        <w:tabs>
          <w:tab w:val="left" w:pos="1355"/>
        </w:tabs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вправе обрабатывать персональные данные без согласия субъекта персональных данных (или при отзыве субъектом персональных данных согласия на обработку персональных данных) при наличии оснований, указанных в законе № 152-ФЗ.</w:t>
      </w:r>
    </w:p>
    <w:p w:rsidR="0096699A" w:rsidRPr="0096699A" w:rsidRDefault="0096699A" w:rsidP="00EF3DED">
      <w:pPr>
        <w:numPr>
          <w:ilvl w:val="0"/>
          <w:numId w:val="4"/>
        </w:numPr>
        <w:tabs>
          <w:tab w:val="left" w:pos="1355"/>
        </w:tabs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96699A" w:rsidRPr="0096699A" w:rsidRDefault="0096699A" w:rsidP="00EF3DED">
      <w:pPr>
        <w:numPr>
          <w:ilvl w:val="0"/>
          <w:numId w:val="4"/>
        </w:numPr>
        <w:tabs>
          <w:tab w:val="left" w:pos="1352"/>
        </w:tabs>
        <w:spacing w:after="0" w:line="301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которые характеризуют физиологические особенности человека и на основе которых можно установить его личность (биометрические персональные данные) и сведения о состоянии здоровья, могут обрабатываться только при наличии согласия в письменной форме субъекта персональных данных или иных оснований, предусмотренных федеральным законодательством.</w:t>
      </w:r>
    </w:p>
    <w:p w:rsidR="0096699A" w:rsidRPr="0096699A" w:rsidRDefault="0096699A" w:rsidP="00EF3DED">
      <w:pPr>
        <w:numPr>
          <w:ilvl w:val="0"/>
          <w:numId w:val="4"/>
        </w:numPr>
        <w:tabs>
          <w:tab w:val="left" w:pos="1355"/>
        </w:tabs>
        <w:spacing w:after="0" w:line="301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субъекта могут быть получены Оператором от лица, не являющегося субъектом персональных данных, при условии предоставления Оператору подтверждения наличия оснований, указанных в законе № 152-ФЗ или иных оснований, предусмотренных федеральным законодательством.</w:t>
      </w:r>
    </w:p>
    <w:p w:rsidR="0096699A" w:rsidRPr="0096699A" w:rsidRDefault="0096699A" w:rsidP="00EF3DED">
      <w:pPr>
        <w:numPr>
          <w:ilvl w:val="0"/>
          <w:numId w:val="4"/>
        </w:numPr>
        <w:tabs>
          <w:tab w:val="left" w:pos="1352"/>
        </w:tabs>
        <w:spacing w:after="0" w:line="301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доступа к персональным данным субъектов персональных данных на бумажных и электронных носителях имеют работники Оператора в соответствии с их должностными обязанностями.</w:t>
      </w:r>
    </w:p>
    <w:p w:rsidR="0096699A" w:rsidRDefault="0096699A" w:rsidP="00EF3DED">
      <w:pPr>
        <w:numPr>
          <w:ilvl w:val="0"/>
          <w:numId w:val="4"/>
        </w:numPr>
        <w:tabs>
          <w:tab w:val="left" w:pos="1352"/>
        </w:tabs>
        <w:spacing w:after="0" w:line="301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Оператором не осуществляется трансграничная передача персональных данных и не принимаются решения, основанные </w:t>
      </w: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исключительно на автоматизированной обработке персональных данных субъекта.</w:t>
      </w:r>
    </w:p>
    <w:p w:rsidR="00EF3DED" w:rsidRPr="0096699A" w:rsidRDefault="00EF3DED" w:rsidP="00EF3DED">
      <w:pPr>
        <w:tabs>
          <w:tab w:val="left" w:pos="1352"/>
        </w:tabs>
        <w:spacing w:after="0" w:line="301" w:lineRule="exact"/>
        <w:ind w:left="70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99A" w:rsidRPr="0096699A" w:rsidRDefault="00EF3DED" w:rsidP="00EF3DED">
      <w:pPr>
        <w:spacing w:after="0" w:line="25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ЦЕЛИ ОБРАБОТКИ ПЕРСОНАЛЬНЫХ ДАННЫХ</w:t>
      </w:r>
    </w:p>
    <w:p w:rsidR="0096699A" w:rsidRPr="0096699A" w:rsidRDefault="0096699A" w:rsidP="00EF3DED">
      <w:pPr>
        <w:spacing w:after="0" w:line="301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соответствии с принципами и условиями обработки персональных данных. Оператором определены следующие цели обработки 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699A" w:rsidRPr="0096699A" w:rsidRDefault="0096699A" w:rsidP="00EF3DED">
      <w:pPr>
        <w:spacing w:after="0" w:line="301" w:lineRule="exact"/>
        <w:ind w:lef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обязательств, предусмотренных служебным контрактом;</w:t>
      </w:r>
    </w:p>
    <w:p w:rsidR="0096699A" w:rsidRPr="0096699A" w:rsidRDefault="0096699A" w:rsidP="00EF3DED">
      <w:pPr>
        <w:spacing w:after="0" w:line="301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требований Трудового кодекса Российской Федерации других нормативных актов Российской Федерации (в том числе предоставление персональных данных в Пенсионный; фонд Российской Федерации, Фонд социального страхования Российской Федерации, Федеральный фонд обязательного медицинского страхования);</w:t>
      </w:r>
    </w:p>
    <w:p w:rsidR="0096699A" w:rsidRPr="0096699A" w:rsidRDefault="0096699A" w:rsidP="00EF3DED">
      <w:pPr>
        <w:spacing w:after="0" w:line="301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решений и выполнение обязательств по обращениям граждан Российской Федерации в соответствии с законодательством Российской Федерации;</w:t>
      </w:r>
    </w:p>
    <w:p w:rsidR="0096699A" w:rsidRDefault="0096699A" w:rsidP="00EF3DED">
      <w:pPr>
        <w:spacing w:after="0" w:line="301" w:lineRule="exact"/>
        <w:ind w:lef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государственных услуг гражданам.</w:t>
      </w:r>
    </w:p>
    <w:p w:rsidR="00EF3DED" w:rsidRPr="0096699A" w:rsidRDefault="00EF3DED" w:rsidP="00EF3DED">
      <w:pPr>
        <w:spacing w:after="0" w:line="301" w:lineRule="exact"/>
        <w:ind w:lef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99A" w:rsidRPr="0096699A" w:rsidRDefault="00EF3DED" w:rsidP="00EF3DED">
      <w:pPr>
        <w:spacing w:after="0" w:line="250" w:lineRule="exact"/>
        <w:ind w:left="20" w:firstLine="6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ОСОБЕННОСТИ ОБРАБОТКИ ПЕРСОНАЛЬНЫХ ДАННЫХ И ИХ ПЕРЕДАЧА</w:t>
      </w:r>
      <w:r w:rsidRPr="00EF3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6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ТРЕТЬИМ ЛИЦАМ</w:t>
      </w:r>
    </w:p>
    <w:p w:rsidR="0096699A" w:rsidRPr="0096699A" w:rsidRDefault="0096699A" w:rsidP="00EF3DED">
      <w:pPr>
        <w:spacing w:after="0" w:line="301" w:lineRule="exact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Обработка персональных данных Оператором осуществляется как с использованием средств автоматизации, так и без использования таких средств.</w:t>
      </w:r>
    </w:p>
    <w:p w:rsidR="0096699A" w:rsidRPr="0096699A" w:rsidRDefault="0096699A" w:rsidP="00EF3DED">
      <w:pPr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обработке персональных данных Оператор осуществляет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96699A" w:rsidRPr="0096699A" w:rsidRDefault="0096699A" w:rsidP="00EF3DED">
      <w:pPr>
        <w:numPr>
          <w:ilvl w:val="0"/>
          <w:numId w:val="5"/>
        </w:numPr>
        <w:tabs>
          <w:tab w:val="left" w:pos="1355"/>
        </w:tabs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персональных данных субъектов персональных данных третьим лицам осуществляется Оператором в соответствии с требованиями действующего законодательства.</w:t>
      </w:r>
    </w:p>
    <w:p w:rsidR="0096699A" w:rsidRDefault="0096699A" w:rsidP="00EF3DED">
      <w:pPr>
        <w:numPr>
          <w:ilvl w:val="0"/>
          <w:numId w:val="5"/>
        </w:numPr>
        <w:tabs>
          <w:tab w:val="left" w:pos="1362"/>
        </w:tabs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вправе поручить обработку персональных данных третьей стороне с согласия субъекта персональных данных и в иных случаях, предусмотренных действующим законодательством Российской Федерации, на основании заключаемого с этой стороной соглашения, (далее - поручение). Третья сторона, осуществляющая обработку персональных данных по поручению Оператора, обязана соблюдать принципы и правила обработки персональных данных, предусмотренные законом № 152-ФЗ, обеспечивая конфиденциальность и безопасность персональных данных при их обработке.</w:t>
      </w:r>
    </w:p>
    <w:p w:rsidR="00EF3DED" w:rsidRPr="0096699A" w:rsidRDefault="00EF3DED" w:rsidP="00EF3DED">
      <w:pPr>
        <w:tabs>
          <w:tab w:val="left" w:pos="1362"/>
        </w:tabs>
        <w:spacing w:after="0" w:line="301" w:lineRule="exact"/>
        <w:ind w:left="68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99A" w:rsidRPr="0096699A" w:rsidRDefault="00EF3DED" w:rsidP="00EF3DED">
      <w:pPr>
        <w:spacing w:after="0" w:line="25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ПРАВА СУБЪЕКТОВ ПЕРСОНАЛЬНЫХ ДАННЫХ</w:t>
      </w:r>
    </w:p>
    <w:p w:rsidR="0096699A" w:rsidRPr="0096699A" w:rsidRDefault="0096699A" w:rsidP="00EF3DED">
      <w:pPr>
        <w:numPr>
          <w:ilvl w:val="0"/>
          <w:numId w:val="6"/>
        </w:numPr>
        <w:tabs>
          <w:tab w:val="left" w:pos="1355"/>
        </w:tabs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96699A" w:rsidRPr="0096699A" w:rsidRDefault="0096699A" w:rsidP="00EF3DED">
      <w:pPr>
        <w:numPr>
          <w:ilvl w:val="0"/>
          <w:numId w:val="6"/>
        </w:numPr>
        <w:tabs>
          <w:tab w:val="left" w:pos="1359"/>
        </w:tabs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96699A" w:rsidRPr="0096699A" w:rsidRDefault="0096699A" w:rsidP="00EF3DED">
      <w:pPr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подтверждение факта обработки персональных данных Оператором; правовые основания и цели обработки персональных данных, применяемые Оператором способы обработки 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699A" w:rsidRPr="0096699A" w:rsidRDefault="0096699A" w:rsidP="00EF3DED">
      <w:pPr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96699A" w:rsidRPr="0096699A" w:rsidRDefault="0096699A" w:rsidP="00EF3DED">
      <w:pPr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96699A" w:rsidRPr="0096699A" w:rsidRDefault="0096699A" w:rsidP="00EF3DED">
      <w:pPr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обработки персональных данных, в том числе сроки их хранения;</w:t>
      </w:r>
    </w:p>
    <w:p w:rsidR="0096699A" w:rsidRPr="0096699A" w:rsidRDefault="0096699A" w:rsidP="00EF3DED">
      <w:pPr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осуществления субъектом 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прав, предусмотренных законом № 152-ФЗ;</w:t>
      </w:r>
    </w:p>
    <w:p w:rsidR="0096699A" w:rsidRPr="0096699A" w:rsidRDefault="0096699A" w:rsidP="00EF3DED">
      <w:pPr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осуществленной или о предполагаемой трансграничной передаче данных;</w:t>
      </w:r>
    </w:p>
    <w:p w:rsidR="0096699A" w:rsidRDefault="0096699A" w:rsidP="00EF3DED">
      <w:pPr>
        <w:spacing w:after="0" w:line="301" w:lineRule="exact"/>
        <w:ind w:left="20" w:right="20"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 иные сведения, предусмотренные законом № 152-ФЗ.</w:t>
      </w:r>
    </w:p>
    <w:p w:rsidR="00EF3DED" w:rsidRPr="0096699A" w:rsidRDefault="00EF3DED" w:rsidP="00EF3DED">
      <w:pPr>
        <w:spacing w:after="0" w:line="301" w:lineRule="exact"/>
        <w:ind w:left="20" w:right="20"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99A" w:rsidRPr="0096699A" w:rsidRDefault="00EF3DED" w:rsidP="00EF3DED">
      <w:pPr>
        <w:spacing w:after="0" w:line="25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ОБЕСПЕЧЕНИЕ БЕЗОПАСНОСТИ ПЕРСОНАЛЬНЫХ ДАННЫХ</w:t>
      </w:r>
    </w:p>
    <w:p w:rsidR="0096699A" w:rsidRPr="0096699A" w:rsidRDefault="0096699A" w:rsidP="00EF3DED">
      <w:pPr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Оператор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К данным мерам в частности относится: назначение лица, ответственного за организацию обработки персональных данных;</w:t>
      </w:r>
    </w:p>
    <w:p w:rsidR="0096699A" w:rsidRPr="0096699A" w:rsidRDefault="0096699A" w:rsidP="00EF3DED">
      <w:pPr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внутреннего контроля за соблюдением законодательства Российской Федерации о персональных данных, в том числе требований к защите персональных данных;</w:t>
      </w:r>
    </w:p>
    <w:p w:rsidR="0096699A" w:rsidRPr="0096699A" w:rsidRDefault="0096699A" w:rsidP="00EF3DED">
      <w:pPr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работников Оператора с положениями законодательства Российской Федерации о персональных данных, локальными актами по вопросам обработки персональных данных, требованиями к защите персональных данных;</w:t>
      </w:r>
    </w:p>
    <w:p w:rsidR="0096699A" w:rsidRPr="0096699A" w:rsidRDefault="0096699A" w:rsidP="00EF3DED">
      <w:pPr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локальных актов по вопросам обработки персональных данных и локальных актов, устанавливающих процедуры, направленные на предотвращение и выявления нарушений законодательства Российской Федерации;</w:t>
      </w:r>
    </w:p>
    <w:p w:rsidR="0096699A" w:rsidRPr="0096699A" w:rsidRDefault="0096699A" w:rsidP="00EF3DED">
      <w:pPr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угроз безопасности персональных данных и необходимого уровня защищённости персональных данных, при их обработке в 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699A" w:rsidRPr="0096699A" w:rsidRDefault="0096699A" w:rsidP="00EF3DED">
      <w:pPr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организационных и технических мер по обеспечению безопасности персональных данных при их обработке в </w:t>
      </w:r>
      <w:proofErr w:type="spellStart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699A" w:rsidRPr="0096699A" w:rsidRDefault="0096699A" w:rsidP="00EF3DED">
      <w:pPr>
        <w:spacing w:after="0" w:line="301" w:lineRule="exact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средств защиты информации, прошедших в установленном порядке процедуру оценки соответствия требованиям </w:t>
      </w: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законодательства Российской Федерации в области обеспечения безопасности информации;</w:t>
      </w:r>
    </w:p>
    <w:p w:rsidR="0096699A" w:rsidRDefault="0096699A" w:rsidP="00EF3DED">
      <w:pPr>
        <w:spacing w:after="0" w:line="301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оценки эффективности применяемых мер по обеспечению безопасности персональных данных.</w:t>
      </w:r>
    </w:p>
    <w:p w:rsidR="00EF3DED" w:rsidRPr="0096699A" w:rsidRDefault="00EF3DED" w:rsidP="00EF3DED">
      <w:pPr>
        <w:spacing w:after="0" w:line="301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FDB" w:rsidRDefault="00250B12" w:rsidP="00EF3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3DED" w:rsidRPr="00A1274C" w:rsidRDefault="00EF3DED" w:rsidP="00EF3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63A" w:rsidRDefault="00D0563A"/>
    <w:p w:rsidR="00D0563A" w:rsidRDefault="00D0563A"/>
    <w:p w:rsidR="00D0563A" w:rsidRDefault="00D0563A"/>
    <w:p w:rsidR="00D0563A" w:rsidRDefault="00D0563A"/>
    <w:p w:rsidR="00D0563A" w:rsidRDefault="00D0563A"/>
    <w:p w:rsidR="00D0563A" w:rsidRDefault="00D0563A"/>
    <w:p w:rsidR="00D0563A" w:rsidRDefault="00D0563A"/>
    <w:p w:rsidR="00D0563A" w:rsidRDefault="00D0563A"/>
    <w:p w:rsidR="00D0563A" w:rsidRDefault="00D0563A"/>
    <w:p w:rsidR="00D0563A" w:rsidRDefault="00D0563A"/>
    <w:p w:rsidR="00D0563A" w:rsidRDefault="00D0563A"/>
    <w:p w:rsidR="00D0563A" w:rsidRDefault="00D0563A"/>
    <w:p w:rsidR="00D0563A" w:rsidRDefault="00D0563A"/>
    <w:tbl>
      <w:tblPr>
        <w:tblpPr w:leftFromText="180" w:rightFromText="180" w:vertAnchor="page" w:horzAnchor="margin" w:tblpY="28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74"/>
        <w:gridCol w:w="360"/>
        <w:gridCol w:w="360"/>
        <w:gridCol w:w="360"/>
        <w:gridCol w:w="360"/>
        <w:gridCol w:w="952"/>
        <w:gridCol w:w="1766"/>
        <w:gridCol w:w="1965"/>
        <w:gridCol w:w="1074"/>
        <w:gridCol w:w="1074"/>
      </w:tblGrid>
      <w:tr w:rsidR="00D0563A" w:rsidRPr="00D0563A" w:rsidTr="00D0563A">
        <w:trPr>
          <w:trHeight w:val="27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3A" w:rsidRPr="00D0563A" w:rsidRDefault="00D0563A" w:rsidP="00D0563A">
            <w:pPr>
              <w:keepNext/>
              <w:keepLines/>
              <w:spacing w:after="0" w:line="240" w:lineRule="atLeast"/>
              <w:jc w:val="center"/>
              <w:outlineLvl w:val="1"/>
              <w:rPr>
                <w:rFonts w:ascii="Arial" w:eastAsia="Times New Roman" w:hAnsi="Arial" w:cs="Arial"/>
                <w:b/>
                <w:color w:val="2E74B5"/>
                <w:szCs w:val="24"/>
              </w:rPr>
            </w:pPr>
            <w:r w:rsidRPr="00D0563A">
              <w:rPr>
                <w:rFonts w:ascii="Arial" w:eastAsia="Times New Roman" w:hAnsi="Arial" w:cs="Arial"/>
                <w:b/>
                <w:szCs w:val="24"/>
              </w:rPr>
              <w:lastRenderedPageBreak/>
              <w:t>ЛИСТ РЕГИСТРАЦИИ ИЗМЕНЕНИЙ</w:t>
            </w:r>
          </w:p>
        </w:tc>
      </w:tr>
      <w:tr w:rsidR="00D0563A" w:rsidRPr="00D0563A" w:rsidTr="00D0563A">
        <w:trPr>
          <w:cantSplit/>
          <w:trHeight w:val="208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Номер изменения</w:t>
            </w:r>
          </w:p>
        </w:tc>
        <w:tc>
          <w:tcPr>
            <w:tcW w:w="10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Номера страниц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Всего стр. в документе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Наименование и № документа, вводящего изменения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Подпись Ф.И.О. внесшего изменения в данный экземпляр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Дата внесения изменения в данный экземпляр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Дата введения изменения</w:t>
            </w:r>
          </w:p>
        </w:tc>
      </w:tr>
      <w:tr w:rsidR="00D0563A" w:rsidRPr="00D0563A" w:rsidTr="00D0563A">
        <w:trPr>
          <w:cantSplit/>
          <w:trHeight w:val="1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3A" w:rsidRPr="00D0563A" w:rsidRDefault="00D0563A" w:rsidP="00D05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Измененных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Замененных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Новых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Аннулированных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3A" w:rsidRPr="00D0563A" w:rsidRDefault="00D0563A" w:rsidP="00D05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3A" w:rsidRPr="00D0563A" w:rsidRDefault="00D0563A" w:rsidP="00D05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3A" w:rsidRPr="00D0563A" w:rsidRDefault="00D0563A" w:rsidP="00D05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3A" w:rsidRPr="00D0563A" w:rsidRDefault="00D0563A" w:rsidP="00D05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3A" w:rsidRPr="00D0563A" w:rsidRDefault="00D0563A" w:rsidP="00D05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0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3A" w:rsidRPr="00D0563A" w:rsidRDefault="00D0563A" w:rsidP="00D05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  <w:r w:rsidRPr="00D0563A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10</w:t>
            </w:r>
          </w:p>
        </w:tc>
      </w:tr>
      <w:tr w:rsidR="00D0563A" w:rsidRPr="00D0563A" w:rsidTr="00D0563A">
        <w:trPr>
          <w:trHeight w:val="20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0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0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0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0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0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0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0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0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0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0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0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0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0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0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563A" w:rsidRPr="00D0563A" w:rsidRDefault="00D0563A" w:rsidP="00D056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D0563A" w:rsidRPr="00D0563A" w:rsidRDefault="00D0563A" w:rsidP="00D05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63A" w:rsidRPr="00D0563A" w:rsidRDefault="00D0563A" w:rsidP="00D05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63A" w:rsidRPr="00D0563A" w:rsidRDefault="00D0563A" w:rsidP="00D05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63A" w:rsidRDefault="00D0563A"/>
    <w:p w:rsidR="00D0563A" w:rsidRPr="00D0563A" w:rsidRDefault="00D0563A" w:rsidP="00D0563A"/>
    <w:p w:rsidR="00D0563A" w:rsidRPr="00D0563A" w:rsidRDefault="00D0563A" w:rsidP="00D0563A"/>
    <w:p w:rsidR="00D0563A" w:rsidRPr="00D0563A" w:rsidRDefault="00D0563A" w:rsidP="00D0563A"/>
    <w:p w:rsidR="00D0563A" w:rsidRPr="00D0563A" w:rsidRDefault="00D0563A" w:rsidP="00D0563A"/>
    <w:p w:rsidR="00D0563A" w:rsidRDefault="00D0563A" w:rsidP="00D0563A">
      <w:pPr>
        <w:ind w:firstLine="708"/>
      </w:pPr>
    </w:p>
    <w:p w:rsidR="00D0563A" w:rsidRDefault="00D0563A" w:rsidP="00D0563A">
      <w:pPr>
        <w:ind w:firstLine="708"/>
      </w:pPr>
    </w:p>
    <w:p w:rsidR="00D0563A" w:rsidRDefault="00D0563A" w:rsidP="00D0563A">
      <w:pPr>
        <w:ind w:firstLine="708"/>
      </w:pPr>
    </w:p>
    <w:p w:rsidR="00D0563A" w:rsidRDefault="00D0563A" w:rsidP="00D0563A">
      <w:pPr>
        <w:ind w:firstLine="708"/>
      </w:pPr>
    </w:p>
    <w:p w:rsidR="00D0563A" w:rsidRDefault="00D0563A" w:rsidP="00D0563A">
      <w:pPr>
        <w:ind w:firstLine="708"/>
      </w:pPr>
    </w:p>
    <w:p w:rsidR="00D0563A" w:rsidRDefault="00D0563A" w:rsidP="00D0563A">
      <w:pPr>
        <w:ind w:firstLine="708"/>
      </w:pPr>
    </w:p>
    <w:p w:rsidR="00D0563A" w:rsidRDefault="00D0563A" w:rsidP="00D0563A">
      <w:pPr>
        <w:ind w:firstLine="708"/>
      </w:pPr>
    </w:p>
    <w:p w:rsidR="00D0563A" w:rsidRDefault="00D0563A" w:rsidP="00D0563A">
      <w:pPr>
        <w:ind w:firstLine="708"/>
      </w:pPr>
    </w:p>
    <w:p w:rsidR="00D0563A" w:rsidRDefault="00D0563A" w:rsidP="00D0563A">
      <w:pPr>
        <w:ind w:firstLine="708"/>
      </w:pPr>
    </w:p>
    <w:p w:rsidR="00D0563A" w:rsidRDefault="00D0563A" w:rsidP="00D0563A">
      <w:pPr>
        <w:ind w:firstLine="708"/>
      </w:pPr>
    </w:p>
    <w:p w:rsidR="00D0563A" w:rsidRDefault="00D0563A" w:rsidP="00D0563A">
      <w:pPr>
        <w:ind w:firstLine="708"/>
      </w:pPr>
    </w:p>
    <w:p w:rsidR="00D0563A" w:rsidRPr="00D0563A" w:rsidRDefault="00D0563A" w:rsidP="00D0563A">
      <w:pPr>
        <w:keepNext/>
        <w:keepLines/>
        <w:spacing w:before="40" w:after="0" w:line="240" w:lineRule="atLeast"/>
        <w:jc w:val="center"/>
        <w:outlineLvl w:val="1"/>
        <w:rPr>
          <w:rFonts w:ascii="Arial" w:eastAsia="Times New Roman" w:hAnsi="Arial" w:cs="Arial"/>
          <w:b/>
          <w:sz w:val="20"/>
          <w:szCs w:val="26"/>
          <w:lang w:val="x-none"/>
        </w:rPr>
      </w:pPr>
      <w:r w:rsidRPr="00D0563A">
        <w:rPr>
          <w:rFonts w:ascii="Arial" w:eastAsia="Times New Roman" w:hAnsi="Arial" w:cs="Arial"/>
          <w:b/>
          <w:sz w:val="20"/>
          <w:szCs w:val="26"/>
          <w:lang w:val="x-none"/>
        </w:rPr>
        <w:lastRenderedPageBreak/>
        <w:t xml:space="preserve">ЛИСТ ОЗНАКОМЛЕНИЯ </w:t>
      </w:r>
      <w:r w:rsidRPr="00D0563A">
        <w:rPr>
          <w:rFonts w:ascii="Arial" w:eastAsia="Times New Roman" w:hAnsi="Arial" w:cs="Arial"/>
          <w:b/>
          <w:caps/>
          <w:sz w:val="20"/>
          <w:szCs w:val="26"/>
          <w:lang w:val="x-none"/>
        </w:rPr>
        <w:t>и рассылки</w:t>
      </w:r>
    </w:p>
    <w:p w:rsidR="00D0563A" w:rsidRPr="00D0563A" w:rsidRDefault="00D0563A" w:rsidP="00D0563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0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3409"/>
        <w:gridCol w:w="1274"/>
        <w:gridCol w:w="2152"/>
        <w:gridCol w:w="1224"/>
      </w:tblGrid>
      <w:tr w:rsidR="00D0563A" w:rsidRPr="00D0563A" w:rsidTr="00D0563A">
        <w:trPr>
          <w:trHeight w:val="639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9"/>
              <w:jc w:val="center"/>
              <w:rPr>
                <w:rFonts w:ascii="Arial" w:eastAsia="Calibri" w:hAnsi="Arial" w:cs="Arial"/>
                <w:b/>
                <w:sz w:val="18"/>
                <w:szCs w:val="24"/>
                <w:lang w:eastAsia="ru-RU"/>
              </w:rPr>
            </w:pPr>
            <w:r w:rsidRPr="00D0563A">
              <w:rPr>
                <w:rFonts w:ascii="Arial" w:eastAsia="Calibri" w:hAnsi="Arial" w:cs="Arial"/>
                <w:b/>
                <w:sz w:val="18"/>
                <w:szCs w:val="24"/>
                <w:lang w:eastAsia="ru-RU"/>
              </w:rPr>
              <w:t>Дата ознакомления</w:t>
            </w:r>
          </w:p>
        </w:tc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9"/>
              <w:jc w:val="center"/>
              <w:rPr>
                <w:rFonts w:ascii="Arial" w:eastAsia="Calibri" w:hAnsi="Arial" w:cs="Arial"/>
                <w:b/>
                <w:sz w:val="18"/>
                <w:szCs w:val="24"/>
                <w:lang w:eastAsia="ru-RU"/>
              </w:rPr>
            </w:pPr>
            <w:r w:rsidRPr="00D0563A">
              <w:rPr>
                <w:rFonts w:ascii="Arial" w:eastAsia="Calibri" w:hAnsi="Arial" w:cs="Arial"/>
                <w:b/>
                <w:sz w:val="18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9"/>
              <w:jc w:val="center"/>
              <w:rPr>
                <w:rFonts w:ascii="Arial" w:eastAsia="Calibri" w:hAnsi="Arial" w:cs="Arial"/>
                <w:b/>
                <w:sz w:val="18"/>
                <w:szCs w:val="24"/>
                <w:lang w:eastAsia="ru-RU"/>
              </w:rPr>
            </w:pPr>
            <w:r w:rsidRPr="00D0563A">
              <w:rPr>
                <w:rFonts w:ascii="Arial" w:eastAsia="Calibri" w:hAnsi="Arial" w:cs="Arial"/>
                <w:b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9"/>
              <w:jc w:val="center"/>
              <w:rPr>
                <w:rFonts w:ascii="Arial" w:eastAsia="Calibri" w:hAnsi="Arial" w:cs="Arial"/>
                <w:b/>
                <w:sz w:val="18"/>
                <w:szCs w:val="24"/>
                <w:lang w:eastAsia="ru-RU"/>
              </w:rPr>
            </w:pPr>
            <w:r w:rsidRPr="00D0563A">
              <w:rPr>
                <w:rFonts w:ascii="Arial" w:eastAsia="Calibri" w:hAnsi="Arial" w:cs="Arial"/>
                <w:b/>
                <w:sz w:val="18"/>
                <w:szCs w:val="24"/>
                <w:lang w:eastAsia="ru-RU"/>
              </w:rPr>
              <w:t>Расшифровка подписи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9"/>
              <w:jc w:val="center"/>
              <w:rPr>
                <w:rFonts w:ascii="Arial" w:eastAsia="Calibri" w:hAnsi="Arial" w:cs="Arial"/>
                <w:b/>
                <w:sz w:val="18"/>
                <w:szCs w:val="24"/>
                <w:lang w:eastAsia="ru-RU"/>
              </w:rPr>
            </w:pPr>
            <w:r w:rsidRPr="00D0563A">
              <w:rPr>
                <w:rFonts w:ascii="Arial" w:eastAsia="Calibri" w:hAnsi="Arial" w:cs="Arial"/>
                <w:b/>
                <w:sz w:val="18"/>
                <w:szCs w:val="24"/>
                <w:lang w:eastAsia="ru-RU"/>
              </w:rPr>
              <w:t>Номер</w:t>
            </w:r>
          </w:p>
          <w:p w:rsidR="00D0563A" w:rsidRPr="00D0563A" w:rsidRDefault="00D0563A" w:rsidP="00D0563A">
            <w:pPr>
              <w:suppressAutoHyphens/>
              <w:spacing w:after="120" w:line="240" w:lineRule="auto"/>
              <w:ind w:left="29"/>
              <w:jc w:val="center"/>
              <w:rPr>
                <w:rFonts w:ascii="Arial" w:eastAsia="Calibri" w:hAnsi="Arial" w:cs="Arial"/>
                <w:b/>
                <w:sz w:val="18"/>
                <w:szCs w:val="24"/>
                <w:lang w:eastAsia="ru-RU"/>
              </w:rPr>
            </w:pPr>
            <w:r w:rsidRPr="00D0563A">
              <w:rPr>
                <w:rFonts w:ascii="Arial" w:eastAsia="Calibri" w:hAnsi="Arial" w:cs="Arial"/>
                <w:b/>
                <w:sz w:val="18"/>
                <w:szCs w:val="24"/>
                <w:lang w:eastAsia="ru-RU"/>
              </w:rPr>
              <w:t>изменения</w:t>
            </w: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  <w:tr w:rsidR="00D0563A" w:rsidRPr="00D0563A" w:rsidTr="00D0563A">
        <w:trPr>
          <w:trHeight w:val="281"/>
        </w:trPr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A" w:rsidRPr="00D0563A" w:rsidRDefault="00D0563A" w:rsidP="00D0563A">
            <w:pPr>
              <w:suppressAutoHyphens/>
              <w:spacing w:after="120" w:line="240" w:lineRule="auto"/>
              <w:ind w:left="283"/>
              <w:rPr>
                <w:rFonts w:ascii="Arial" w:eastAsia="Calibri" w:hAnsi="Arial" w:cs="Arial"/>
                <w:sz w:val="18"/>
                <w:szCs w:val="24"/>
                <w:lang w:eastAsia="ru-RU"/>
              </w:rPr>
            </w:pPr>
          </w:p>
        </w:tc>
      </w:tr>
    </w:tbl>
    <w:p w:rsidR="00D0563A" w:rsidRPr="00D0563A" w:rsidRDefault="00D0563A" w:rsidP="00D0563A">
      <w:pPr>
        <w:shd w:val="clear" w:color="auto" w:fill="FFFFFF"/>
        <w:spacing w:after="240" w:line="408" w:lineRule="atLeast"/>
        <w:ind w:firstLine="389"/>
        <w:rPr>
          <w:rFonts w:ascii="Droid Sans" w:eastAsia="Times New Roman" w:hAnsi="Droid Sans" w:cs="Times New Roman"/>
          <w:color w:val="444444"/>
          <w:sz w:val="29"/>
          <w:szCs w:val="29"/>
          <w:lang w:eastAsia="ru-RU"/>
        </w:rPr>
      </w:pPr>
    </w:p>
    <w:p w:rsidR="00D0563A" w:rsidRPr="00D0563A" w:rsidRDefault="00D0563A" w:rsidP="00D0563A">
      <w:pPr>
        <w:shd w:val="clear" w:color="auto" w:fill="FFFFFF"/>
        <w:spacing w:after="240" w:line="408" w:lineRule="atLeast"/>
        <w:rPr>
          <w:rFonts w:ascii="Droid Sans" w:eastAsia="Times New Roman" w:hAnsi="Droid Sans" w:cs="Times New Roman"/>
          <w:color w:val="444444"/>
          <w:sz w:val="29"/>
          <w:szCs w:val="29"/>
          <w:lang w:eastAsia="ru-RU"/>
        </w:rPr>
      </w:pPr>
    </w:p>
    <w:p w:rsidR="00D0563A" w:rsidRPr="00D0563A" w:rsidRDefault="00D0563A" w:rsidP="00D0563A">
      <w:pPr>
        <w:ind w:firstLine="708"/>
      </w:pPr>
    </w:p>
    <w:p w:rsidR="00D0563A" w:rsidRPr="00D0563A" w:rsidRDefault="00D0563A" w:rsidP="00D0563A"/>
    <w:p w:rsidR="00D0563A" w:rsidRPr="00D0563A" w:rsidRDefault="00D0563A" w:rsidP="00D0563A"/>
    <w:p w:rsidR="00D0563A" w:rsidRPr="00D0563A" w:rsidRDefault="00D0563A" w:rsidP="00D0563A"/>
    <w:p w:rsidR="00D0563A" w:rsidRPr="00D0563A" w:rsidRDefault="00D0563A" w:rsidP="00D0563A"/>
    <w:p w:rsidR="00D0563A" w:rsidRPr="00D0563A" w:rsidRDefault="00D0563A" w:rsidP="00D0563A"/>
    <w:p w:rsidR="00D0563A" w:rsidRPr="00D0563A" w:rsidRDefault="00D0563A" w:rsidP="00D0563A"/>
    <w:p w:rsidR="00D0563A" w:rsidRPr="00D0563A" w:rsidRDefault="00D0563A" w:rsidP="00D0563A"/>
    <w:p w:rsidR="00D0563A" w:rsidRPr="00D0563A" w:rsidRDefault="00D0563A" w:rsidP="00D0563A"/>
    <w:p w:rsidR="00D0563A" w:rsidRPr="00D0563A" w:rsidRDefault="00D0563A" w:rsidP="00D0563A"/>
    <w:p w:rsidR="00D0563A" w:rsidRPr="00D0563A" w:rsidRDefault="00D0563A" w:rsidP="00D0563A"/>
    <w:p w:rsidR="00D0563A" w:rsidRPr="00D0563A" w:rsidRDefault="00D0563A" w:rsidP="00D0563A"/>
    <w:p w:rsidR="00D0563A" w:rsidRPr="00D0563A" w:rsidRDefault="00D0563A" w:rsidP="00D0563A"/>
    <w:p w:rsidR="00D0563A" w:rsidRPr="00D0563A" w:rsidRDefault="00D0563A" w:rsidP="00D0563A"/>
    <w:sectPr w:rsidR="00D0563A" w:rsidRPr="00D0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83CEC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9E"/>
    <w:rsid w:val="00250B12"/>
    <w:rsid w:val="00550FEA"/>
    <w:rsid w:val="00782BFB"/>
    <w:rsid w:val="0096699A"/>
    <w:rsid w:val="00A1274C"/>
    <w:rsid w:val="00AE6F9E"/>
    <w:rsid w:val="00D0563A"/>
    <w:rsid w:val="00E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1976"/>
  <w15:chartTrackingRefBased/>
  <w15:docId w15:val="{3437C369-1600-42BF-8BE1-1B1FBE66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Лещенко Владимировна</dc:creator>
  <cp:keywords/>
  <dc:description/>
  <cp:lastModifiedBy>Юля Лещенко Владимировна</cp:lastModifiedBy>
  <cp:revision>4</cp:revision>
  <cp:lastPrinted>2020-08-17T11:03:00Z</cp:lastPrinted>
  <dcterms:created xsi:type="dcterms:W3CDTF">2020-08-17T09:55:00Z</dcterms:created>
  <dcterms:modified xsi:type="dcterms:W3CDTF">2020-08-17T11:08:00Z</dcterms:modified>
</cp:coreProperties>
</file>